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104-e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</w:t>
      </w:r>
      <w:r>
        <w:rPr>
          <w:rFonts w:eastAsia="宋体" w:cs="Arial"/>
          <w:b/>
          <w:sz w:val="22"/>
          <w:szCs w:val="22"/>
          <w:lang w:val="en-US" w:eastAsia="zh-CN"/>
        </w:rPr>
        <w:t>00961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Jan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>uary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25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February 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21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</w:p>
    <w:p>
      <w:pPr>
        <w:pStyle w:val="1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/>
          <w:sz w:val="22"/>
          <w:szCs w:val="22"/>
          <w:lang w:val="en-US" w:eastAsia="zh-CN"/>
        </w:rPr>
        <w:t xml:space="preserve">About reply </w:t>
      </w:r>
      <w:r>
        <w:rPr>
          <w:rFonts w:hint="eastAsia" w:cs="Arial"/>
          <w:sz w:val="22"/>
          <w:szCs w:val="22"/>
          <w:lang w:val="en-US" w:eastAsia="zh-CN"/>
        </w:rPr>
        <w:t>LS on inter-donor topology redundancy in IAB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5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 w:line="240" w:lineRule="auto"/>
        <w:jc w:val="both"/>
        <w:rPr>
          <w:rFonts w:cs="Arial"/>
          <w:lang w:eastAsia="zh-CN"/>
        </w:rPr>
      </w:pPr>
      <w:bookmarkStart w:id="1" w:name="OLE_LINK1"/>
      <w:bookmarkStart w:id="2" w:name="OLE_LINK2"/>
      <w:bookmarkStart w:id="3" w:name="OLE_LINK15"/>
      <w:bookmarkStart w:id="4" w:name="OLE_LINK16"/>
      <w:r>
        <w:rPr>
          <w:rFonts w:hint="eastAsia" w:eastAsia="宋体"/>
          <w:lang w:val="en-US" w:eastAsia="zh-CN"/>
        </w:rPr>
        <w:t xml:space="preserve">RAN3 sent </w:t>
      </w:r>
      <w:r>
        <w:rPr>
          <w:rFonts w:eastAsia="宋体"/>
          <w:lang w:val="en-US" w:eastAsia="zh-CN"/>
        </w:rPr>
        <w:t xml:space="preserve">to RAN1 </w:t>
      </w:r>
      <w:r>
        <w:rPr>
          <w:rFonts w:hint="eastAsia" w:eastAsia="宋体"/>
          <w:lang w:val="en-US" w:eastAsia="zh-CN"/>
        </w:rPr>
        <w:t>an LS on inter-donor topology redundancy in IAB [1], and RAN3 tends to agree the support of the following two scenarios with the principle that an IAB-DU only has F1 interface with one donor-CU:</w:t>
      </w:r>
    </w:p>
    <w:p>
      <w:pPr>
        <w:numPr>
          <w:ilvl w:val="0"/>
          <w:numId w:val="10"/>
        </w:numPr>
        <w:overflowPunct w:val="0"/>
        <w:autoSpaceDE w:val="0"/>
        <w:autoSpaceDN w:val="0"/>
        <w:snapToGrid w:val="0"/>
        <w:rPr>
          <w:rFonts w:ascii="Calibri" w:hAnsi="Calibri" w:cs="Calibri"/>
          <w:b/>
          <w:bCs/>
          <w:i/>
          <w:iCs/>
          <w:lang w:eastAsia="zh-CN"/>
        </w:rPr>
      </w:pPr>
      <w:r>
        <w:rPr>
          <w:rFonts w:ascii="Calibri" w:hAnsi="Calibri" w:cs="Calibri"/>
          <w:b/>
          <w:bCs/>
          <w:i/>
          <w:iCs/>
        </w:rPr>
        <w:t xml:space="preserve">Scenario 1: the IAB is multi-connected with 2 Donors. </w:t>
      </w:r>
    </w:p>
    <w:p>
      <w:pPr>
        <w:numPr>
          <w:ilvl w:val="0"/>
          <w:numId w:val="10"/>
        </w:numPr>
        <w:overflowPunct w:val="0"/>
        <w:autoSpaceDE w:val="0"/>
        <w:autoSpaceDN w:val="0"/>
        <w:snapToGrid w:val="0"/>
        <w:rPr>
          <w:rFonts w:eastAsia="宋体"/>
          <w:i/>
          <w:iCs/>
          <w:lang w:val="en-US" w:eastAsia="zh-CN"/>
        </w:rPr>
      </w:pPr>
      <w:r>
        <w:rPr>
          <w:rFonts w:ascii="Calibri" w:hAnsi="Calibri" w:cs="Calibri"/>
          <w:b/>
          <w:bCs/>
          <w:i/>
          <w:iCs/>
        </w:rPr>
        <w:t>Scenario 2: the IAB’s parent/ancestor node is multi-connected with 2 Donors.</w:t>
      </w:r>
    </w:p>
    <w:p>
      <w:pPr>
        <w:overflowPunct w:val="0"/>
        <w:autoSpaceDE w:val="0"/>
        <w:autoSpaceDN w:val="0"/>
        <w:snapToGrid w:val="0"/>
        <w:rPr>
          <w:rFonts w:eastAsia="宋体"/>
          <w:i/>
          <w:iCs/>
          <w:lang w:val="en-US" w:eastAsia="zh-CN"/>
        </w:rPr>
      </w:pPr>
      <w:r>
        <w:rPr>
          <w:rFonts w:hint="eastAsia" w:ascii="Calibri" w:hAnsi="Calibri" w:eastAsia="宋体" w:cs="Calibri"/>
          <w:b/>
          <w:bCs/>
          <w:i/>
          <w:iCs/>
          <w:sz w:val="21"/>
          <w:szCs w:val="21"/>
          <w:lang w:val="en-US" w:eastAsia="zh-CN"/>
        </w:rPr>
        <w:t xml:space="preserve"> </w:t>
      </w:r>
      <w:r>
        <w:object>
          <v:shape id="_x0000_i1025" o:spt="75" type="#_x0000_t75" style="height:174pt;width:406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RAN3 thinks it may require the work in RAN1 to support inter-donor topology redundancy, so RAN3 also asks RAN1whether this can be supported in Rel-17. The requested action for RAN1 is given below.</w:t>
      </w:r>
    </w:p>
    <w:p>
      <w:pPr>
        <w:ind w:left="851" w:hanging="851"/>
        <w:rPr>
          <w:rFonts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ACTION</w:t>
      </w:r>
      <w:r>
        <w:rPr>
          <w:rFonts w:hint="eastAsia" w:eastAsia="宋体"/>
          <w:i/>
          <w:iCs/>
          <w:lang w:val="en-US" w:eastAsia="zh-CN"/>
        </w:rPr>
        <w:t xml:space="preserve">: </w:t>
      </w:r>
      <w:r>
        <w:rPr>
          <w:rFonts w:ascii="Arial" w:hAnsi="Arial" w:cs="Arial"/>
          <w:bCs/>
          <w:i/>
          <w:iCs/>
        </w:rPr>
        <w:t>RAN</w:t>
      </w:r>
      <w:r>
        <w:rPr>
          <w:rFonts w:hint="eastAsia" w:ascii="Arial" w:hAnsi="Arial" w:cs="Arial" w:eastAsiaTheme="minorEastAsia"/>
          <w:bCs/>
          <w:i/>
          <w:iCs/>
          <w:lang w:eastAsia="zh-CN"/>
        </w:rPr>
        <w:t>3</w:t>
      </w:r>
      <w:r>
        <w:rPr>
          <w:rFonts w:ascii="Arial" w:hAnsi="Arial" w:cs="Arial"/>
          <w:bCs/>
          <w:i/>
          <w:iCs/>
        </w:rPr>
        <w:t xml:space="preserve"> respectfully asks </w:t>
      </w:r>
      <w:r>
        <w:rPr>
          <w:rFonts w:ascii="Arial" w:hAnsi="Arial" w:cs="Arial"/>
          <w:bCs/>
          <w:i/>
          <w:iCs/>
          <w:lang w:eastAsia="zh-CN"/>
        </w:rPr>
        <w:t>RAN</w:t>
      </w:r>
      <w:r>
        <w:rPr>
          <w:rFonts w:ascii="Arial" w:hAnsi="Arial" w:cs="Arial" w:eastAsiaTheme="minorEastAsia"/>
          <w:bCs/>
          <w:i/>
          <w:iCs/>
          <w:lang w:eastAsia="zh-CN"/>
        </w:rPr>
        <w:t>1</w:t>
      </w:r>
      <w:r>
        <w:rPr>
          <w:rFonts w:hint="eastAsia" w:ascii="Arial" w:hAnsi="Arial" w:cs="Arial" w:eastAsiaTheme="minorEastAsia"/>
          <w:bCs/>
          <w:i/>
          <w:iCs/>
          <w:lang w:eastAsia="zh-CN"/>
        </w:rPr>
        <w:t xml:space="preserve"> </w:t>
      </w:r>
      <w:r>
        <w:rPr>
          <w:rFonts w:ascii="Arial" w:hAnsi="Arial" w:cs="Arial"/>
          <w:bCs/>
          <w:i/>
          <w:iCs/>
        </w:rPr>
        <w:t xml:space="preserve">to </w:t>
      </w:r>
      <w:r>
        <w:rPr>
          <w:rFonts w:hint="eastAsia" w:ascii="Arial" w:hAnsi="Arial" w:cs="Arial" w:eastAsiaTheme="minorEastAsia"/>
          <w:bCs/>
          <w:i/>
          <w:iCs/>
          <w:lang w:eastAsia="zh-CN"/>
        </w:rPr>
        <w:t xml:space="preserve">take </w:t>
      </w:r>
      <w:r>
        <w:rPr>
          <w:rFonts w:ascii="Arial" w:hAnsi="Arial" w:cs="Arial"/>
          <w:i/>
          <w:iCs/>
          <w:lang w:eastAsia="zh-CN"/>
        </w:rPr>
        <w:t>the above into account</w:t>
      </w:r>
      <w:r>
        <w:rPr>
          <w:rFonts w:hint="eastAsia" w:ascii="Arial" w:hAnsi="Arial" w:cs="Arial" w:eastAsiaTheme="minorEastAsia"/>
          <w:i/>
          <w:iCs/>
          <w:lang w:eastAsia="zh-CN"/>
        </w:rPr>
        <w:t xml:space="preserve"> and</w:t>
      </w:r>
      <w:r>
        <w:rPr>
          <w:rFonts w:ascii="Arial" w:hAnsi="Arial" w:cs="Arial" w:eastAsiaTheme="minorEastAsia"/>
          <w:i/>
          <w:iCs/>
          <w:lang w:eastAsia="zh-CN"/>
        </w:rPr>
        <w:t xml:space="preserve"> to provide feedback</w:t>
      </w:r>
      <w:r>
        <w:rPr>
          <w:rFonts w:ascii="Arial" w:hAnsi="Arial" w:cs="Arial"/>
          <w:bCs/>
          <w:i/>
          <w:iCs/>
          <w:lang w:eastAsia="zh-CN"/>
        </w:rPr>
        <w:t>.</w:t>
      </w:r>
      <w:r>
        <w:rPr>
          <w:rFonts w:hint="eastAsia" w:ascii="Arial" w:hAnsi="Arial" w:cs="Arial" w:eastAsiaTheme="minorEastAsia"/>
          <w:bCs/>
          <w:i/>
          <w:iCs/>
          <w:lang w:eastAsia="zh-CN"/>
        </w:rPr>
        <w:t xml:space="preserve"> </w:t>
      </w:r>
    </w:p>
    <w:p>
      <w:pPr>
        <w:snapToGrid w:val="0"/>
        <w:spacing w:before="120" w:beforeLines="50" w:after="120" w:afterLines="50" w:line="240" w:lineRule="auto"/>
        <w:jc w:val="both"/>
        <w:rPr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hint="eastAsia" w:eastAsia="宋体"/>
          <w:lang w:val="en-US" w:eastAsia="zh-CN"/>
        </w:rPr>
        <w:t>his contribution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share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our views </w:t>
      </w:r>
      <w:r>
        <w:rPr>
          <w:rFonts w:eastAsia="宋体"/>
          <w:lang w:val="en-US" w:eastAsia="zh-CN"/>
        </w:rPr>
        <w:t xml:space="preserve">and suggestions </w:t>
      </w:r>
      <w:r>
        <w:rPr>
          <w:rFonts w:hint="eastAsia" w:eastAsia="宋体"/>
          <w:lang w:val="en-US" w:eastAsia="zh-CN"/>
        </w:rPr>
        <w:t>on the reply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LS.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spacing w:before="120" w:beforeLines="50" w:after="120" w:afterLines="50"/>
        <w:jc w:val="both"/>
        <w:rPr>
          <w:rFonts w:eastAsia="宋体"/>
          <w:lang w:val="en-US" w:eastAsia="zh-CN"/>
        </w:rPr>
      </w:pPr>
      <w:bookmarkStart w:id="5" w:name="_Toc28873153"/>
      <w:r>
        <w:rPr>
          <w:rFonts w:hint="eastAsia" w:eastAsia="宋体"/>
          <w:lang w:val="en-US" w:eastAsia="zh-CN"/>
        </w:rPr>
        <w:t>Support of DC scenarios was also discussed at last RAN1#103-e meeting, and the following agreements are made [2].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0" w:type="dxa"/>
          </w:tcPr>
          <w:p>
            <w:pPr>
              <w:rPr>
                <w:rFonts w:eastAsia="Calibri" w:cs="Times"/>
                <w:b/>
                <w:bCs/>
                <w:highlight w:val="green"/>
              </w:rPr>
            </w:pPr>
            <w:r>
              <w:rPr>
                <w:rFonts w:eastAsia="Calibri" w:cs="Times"/>
                <w:b/>
                <w:bCs/>
                <w:highlight w:val="green"/>
              </w:rPr>
              <w:t>Agreement</w:t>
            </w:r>
          </w:p>
          <w:p>
            <w:pPr>
              <w:rPr>
                <w:rFonts w:eastAsia="Batang"/>
              </w:rPr>
            </w:pPr>
            <w:r>
              <w:t xml:space="preserve">From a RAN1 perspective, at least intra-donor multi-parent operation is supported in Rel-17 </w:t>
            </w:r>
          </w:p>
          <w:p>
            <w:pPr>
              <w:pStyle w:val="125"/>
              <w:numPr>
                <w:ilvl w:val="0"/>
                <w:numId w:val="11"/>
              </w:numPr>
              <w:textAlignment w:val="baseline"/>
              <w:rPr>
                <w:rFonts w:eastAsia="Batang"/>
                <w:sz w:val="20"/>
                <w:szCs w:val="20"/>
              </w:rPr>
            </w:pPr>
            <w:r>
              <w:rPr>
                <w:rFonts w:eastAsia="Calibri" w:cs="Times"/>
                <w:color w:val="000000"/>
                <w:sz w:val="20"/>
                <w:szCs w:val="20"/>
              </w:rPr>
              <w:t>FFS: Inter-donor operation pending additional input from RAN2/RAN3</w:t>
            </w:r>
          </w:p>
          <w:p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>
            <w:r>
              <w:t>From a RAN1 perspective, resource multiplexing and coordination is supported for the following DC scenarios in Rel-17.</w:t>
            </w:r>
          </w:p>
          <w:p>
            <w:pPr>
              <w:pStyle w:val="125"/>
              <w:numPr>
                <w:ilvl w:val="0"/>
                <w:numId w:val="11"/>
              </w:numPr>
              <w:textAlignment w:val="baseline"/>
              <w:rPr>
                <w:rFonts w:eastAsia="Calibri" w:cs="Times"/>
                <w:color w:val="000000"/>
                <w:sz w:val="20"/>
                <w:szCs w:val="20"/>
              </w:rPr>
            </w:pPr>
            <w:r>
              <w:rPr>
                <w:rFonts w:eastAsia="Calibri" w:cs="Times"/>
                <w:color w:val="000000"/>
                <w:sz w:val="20"/>
                <w:szCs w:val="20"/>
              </w:rPr>
              <w:t xml:space="preserve">Inter-carrier, inter-band </w:t>
            </w:r>
          </w:p>
          <w:p>
            <w:pPr>
              <w:pStyle w:val="125"/>
              <w:numPr>
                <w:ilvl w:val="0"/>
                <w:numId w:val="11"/>
              </w:numPr>
              <w:textAlignment w:val="baseline"/>
              <w:rPr>
                <w:rFonts w:eastAsia="Calibri" w:cs="Times"/>
                <w:color w:val="000000"/>
                <w:sz w:val="20"/>
                <w:szCs w:val="20"/>
              </w:rPr>
            </w:pPr>
            <w:r>
              <w:rPr>
                <w:rFonts w:eastAsia="Calibri" w:cs="Times"/>
                <w:color w:val="000000"/>
                <w:sz w:val="20"/>
                <w:szCs w:val="20"/>
              </w:rPr>
              <w:t xml:space="preserve">Inter-carrier, intra-band is additionally supported at least for FR2 </w:t>
            </w:r>
          </w:p>
          <w:p>
            <w:pPr>
              <w:pStyle w:val="125"/>
              <w:numPr>
                <w:ilvl w:val="1"/>
                <w:numId w:val="11"/>
              </w:numPr>
              <w:textAlignment w:val="baseline"/>
              <w:rPr>
                <w:rFonts w:eastAsia="Calibri" w:cs="Times"/>
                <w:color w:val="000000"/>
                <w:sz w:val="20"/>
                <w:szCs w:val="20"/>
              </w:rPr>
            </w:pPr>
            <w:r>
              <w:rPr>
                <w:rFonts w:eastAsia="Calibri" w:cs="Times"/>
                <w:color w:val="000000"/>
                <w:sz w:val="20"/>
                <w:szCs w:val="20"/>
              </w:rPr>
              <w:t>At least to the extent it reuses solutions for supporting Inter-carrier, inter-band</w:t>
            </w:r>
          </w:p>
          <w:p>
            <w:pPr>
              <w:pStyle w:val="125"/>
              <w:numPr>
                <w:ilvl w:val="1"/>
                <w:numId w:val="11"/>
              </w:numPr>
              <w:textAlignment w:val="baseline"/>
              <w:rPr>
                <w:rFonts w:eastAsia="Calibri" w:cs="Times"/>
                <w:color w:val="000000"/>
                <w:sz w:val="20"/>
                <w:szCs w:val="20"/>
              </w:rPr>
            </w:pPr>
            <w:r>
              <w:rPr>
                <w:rFonts w:eastAsia="Calibri" w:cs="Times"/>
                <w:color w:val="000000"/>
                <w:sz w:val="20"/>
                <w:szCs w:val="20"/>
              </w:rPr>
              <w:t>FFS: whether specific enhancements for inter-carrier, intra-band DC are introduced in Rel-17</w:t>
            </w:r>
          </w:p>
          <w:p>
            <w:pPr>
              <w:spacing w:before="120" w:beforeLines="50" w:after="120" w:afterLines="50"/>
              <w:jc w:val="both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before="120" w:beforeLines="50" w:after="120" w:afterLines="50"/>
        <w:jc w:val="both"/>
        <w:rPr>
          <w:lang w:val="en-US" w:eastAsia="zh-CN"/>
        </w:rPr>
      </w:pPr>
      <w:r>
        <w:rPr>
          <w:lang w:val="en-US" w:eastAsia="zh-CN"/>
        </w:rPr>
        <w:t>As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above agreement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only intra-donor inter-carrier DC was clearly supported from RAN1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perspective.</w:t>
      </w:r>
    </w:p>
    <w:p>
      <w:pPr>
        <w:spacing w:before="120" w:beforeLines="50" w:after="12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According to current RAN1 progress, intra-donor inter-carrier DC was clearly supported.</w:t>
      </w:r>
    </w:p>
    <w:p>
      <w:pPr>
        <w:overflowPunct w:val="0"/>
        <w:autoSpaceDE w:val="0"/>
        <w:autoSpaceDN w:val="0"/>
        <w:adjustRightInd w:val="0"/>
        <w:spacing w:before="120" w:beforeLines="50"/>
        <w:jc w:val="both"/>
        <w:rPr>
          <w:lang w:val="en-US" w:eastAsia="zh-CN"/>
        </w:rPr>
      </w:pPr>
      <w:r>
        <w:rPr>
          <w:rFonts w:hint="eastAsia" w:cs="Calibri"/>
          <w:color w:val="000000"/>
          <w:lang w:val="en-US" w:eastAsia="zh-CN"/>
        </w:rPr>
        <w:t>T</w:t>
      </w:r>
      <w:r>
        <w:rPr>
          <w:rFonts w:cs="Calibri"/>
          <w:color w:val="000000"/>
          <w:lang w:val="en-US" w:eastAsia="zh-CN"/>
        </w:rPr>
        <w:t>he support of intra-carrier DC scenario for IAB-MT was discussed in RAN</w:t>
      </w:r>
      <w:r>
        <w:rPr>
          <w:rFonts w:hint="eastAsia" w:cs="Calibri"/>
          <w:color w:val="000000"/>
          <w:lang w:val="en-US" w:eastAsia="zh-CN"/>
        </w:rPr>
        <w:t>#89e</w:t>
      </w:r>
      <w:r>
        <w:rPr>
          <w:rFonts w:cs="Calibri"/>
          <w:color w:val="000000"/>
          <w:lang w:val="en-US" w:eastAsia="zh-CN"/>
        </w:rPr>
        <w:t xml:space="preserve"> with no consensus reached</w:t>
      </w:r>
      <w:r>
        <w:rPr>
          <w:rFonts w:hint="eastAsia" w:cs="Calibri"/>
          <w:lang w:val="en-US" w:eastAsia="zh-CN"/>
        </w:rPr>
        <w:t xml:space="preserve">. </w:t>
      </w:r>
      <w:r>
        <w:rPr>
          <w:rFonts w:hint="eastAsia" w:cs="Calibri"/>
          <w:color w:val="000000"/>
          <w:lang w:val="en-US" w:eastAsia="zh-CN"/>
        </w:rPr>
        <w:t>Later</w:t>
      </w:r>
      <w:r>
        <w:rPr>
          <w:rFonts w:cs="Calibri"/>
          <w:color w:val="000000"/>
          <w:lang w:val="en-US" w:eastAsia="zh-CN"/>
        </w:rPr>
        <w:t xml:space="preserve">, </w:t>
      </w:r>
      <w:r>
        <w:rPr>
          <w:rFonts w:hint="eastAsia" w:cs="Calibri"/>
          <w:color w:val="000000"/>
          <w:lang w:val="en-US" w:eastAsia="zh-CN"/>
        </w:rPr>
        <w:t>it was also discussed at RAN1#103-e and RP#90-e, and still no conclusion was achieved for intra-carrier DC after several rounds of RAN1 and RAN plenary discussion</w:t>
      </w:r>
      <w:r>
        <w:rPr>
          <w:rFonts w:cs="Calibri"/>
          <w:color w:val="000000"/>
        </w:rPr>
        <w:t>.</w:t>
      </w:r>
      <w:r>
        <w:rPr>
          <w:rFonts w:cs="Calibri"/>
          <w:color w:val="000000"/>
          <w:lang w:val="en-US" w:eastAsia="zh-CN"/>
        </w:rPr>
        <w:t xml:space="preserve"> </w:t>
      </w:r>
      <w:r>
        <w:rPr>
          <w:rFonts w:hint="eastAsia" w:cs="Calibri"/>
          <w:color w:val="000000"/>
          <w:lang w:val="en-US" w:eastAsia="zh-CN"/>
        </w:rPr>
        <w:t>S</w:t>
      </w:r>
      <w:r>
        <w:rPr>
          <w:rFonts w:hint="eastAsia"/>
          <w:lang w:val="en-US" w:eastAsia="zh-CN"/>
        </w:rPr>
        <w:t>o it is better to suspend the related discussion at RAN WGs until clear RAN plenary guidance was received.</w:t>
      </w:r>
    </w:p>
    <w:p>
      <w:pPr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2</w:t>
      </w:r>
      <w:r>
        <w:rPr>
          <w:rFonts w:hint="eastAsia"/>
          <w:b/>
          <w:bCs/>
          <w:i/>
          <w:lang w:val="en-US" w:eastAsia="zh-CN"/>
        </w:rPr>
        <w:t xml:space="preserve">:  </w:t>
      </w:r>
      <w:r>
        <w:rPr>
          <w:rFonts w:hint="eastAsia"/>
          <w:b/>
          <w:bCs/>
          <w:i/>
          <w:iCs/>
          <w:lang w:val="en-US" w:eastAsia="zh-CN"/>
        </w:rPr>
        <w:t>I</w:t>
      </w:r>
      <w:r>
        <w:rPr>
          <w:rFonts w:hint="eastAsia"/>
          <w:b/>
          <w:bCs/>
          <w:i/>
          <w:lang w:val="en-US" w:eastAsia="zh-CN"/>
        </w:rPr>
        <w:t>ntra-donor intra-carrier DC and inter-donor intra-carrier DC have not been supported. Further RAN plenary guidance is needed for these scenarios.</w:t>
      </w:r>
    </w:p>
    <w:p>
      <w:pPr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past discussion at RAN1#103-e, RAN3 should make a decision whether the inter-donor inter-carrier scenario is supported, and from RAN1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perspective, the resource coordination between gNBs(CUs) should be investigated to address at least the following issues:</w:t>
      </w:r>
    </w:p>
    <w:p>
      <w:pPr>
        <w:numPr>
          <w:ilvl w:val="0"/>
          <w:numId w:val="12"/>
        </w:numPr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 w:eastAsia="宋体"/>
          <w:bCs/>
          <w:color w:val="000000"/>
          <w:kern w:val="24"/>
          <w:lang w:val="en-US" w:eastAsia="zh-CN"/>
        </w:rPr>
        <w:t>T</w:t>
      </w:r>
      <w:r>
        <w:rPr>
          <w:rFonts w:eastAsia="宋体"/>
          <w:bCs/>
          <w:color w:val="000000"/>
          <w:kern w:val="24"/>
          <w:lang w:val="en-US" w:eastAsia="zh-CN"/>
        </w:rPr>
        <w:t xml:space="preserve">he resource configuration of the dual connected IAB-node DU </w:t>
      </w:r>
      <w:r>
        <w:rPr>
          <w:rFonts w:hint="eastAsia" w:eastAsia="宋体"/>
          <w:bCs/>
          <w:color w:val="000000"/>
          <w:kern w:val="24"/>
          <w:lang w:val="en-US" w:eastAsia="zh-CN"/>
        </w:rPr>
        <w:t>(e.g., IAB 3 DU)</w:t>
      </w:r>
      <w:r>
        <w:rPr>
          <w:rFonts w:eastAsia="宋体"/>
          <w:bCs/>
          <w:color w:val="000000"/>
          <w:kern w:val="24"/>
          <w:lang w:val="en-US" w:eastAsia="zh-CN"/>
        </w:rPr>
        <w:t xml:space="preserve"> should consider the co-located IAB-node MT’s resource allocation from two parent DUs </w:t>
      </w:r>
      <w:r>
        <w:rPr>
          <w:rFonts w:hint="eastAsia" w:eastAsia="宋体"/>
          <w:bCs/>
          <w:color w:val="000000"/>
          <w:kern w:val="24"/>
          <w:lang w:val="en-US" w:eastAsia="zh-CN"/>
        </w:rPr>
        <w:t>(e.g., IAB1 DU and IAB2 DU).</w:t>
      </w:r>
    </w:p>
    <w:p>
      <w:pPr>
        <w:numPr>
          <w:ilvl w:val="0"/>
          <w:numId w:val="12"/>
        </w:numPr>
        <w:spacing w:before="120" w:beforeLines="50" w:after="120" w:afterLines="50"/>
        <w:jc w:val="both"/>
      </w:pPr>
      <w:r>
        <w:t xml:space="preserve">An IAB node has the ability to be made aware of the semi-static DU resource configuration 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cell specific signal/channel configurations </w:t>
      </w:r>
      <w:r>
        <w:t>of all its child IAB nodes</w:t>
      </w:r>
      <w:r>
        <w:rPr>
          <w:rFonts w:hint="eastAsia" w:eastAsia="宋体"/>
          <w:lang w:val="en-US" w:eastAsia="zh-CN"/>
        </w:rPr>
        <w:t>, even its child node only has F1 interface with a donor-CU which is different from the donor-CU the IAB node is connected.</w:t>
      </w:r>
    </w:p>
    <w:bookmarkEnd w:id="5"/>
    <w:p>
      <w:pPr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</w:t>
      </w:r>
      <w:r>
        <w:rPr>
          <w:rFonts w:hint="eastAsia"/>
          <w:b/>
          <w:bCs/>
          <w:i/>
          <w:lang w:val="en-US" w:eastAsia="zh-CN"/>
        </w:rPr>
        <w:t xml:space="preserve">:  Some enhancements for resource coordination between gNBs(donor-CUs) </w:t>
      </w:r>
      <w:r>
        <w:rPr>
          <w:b/>
          <w:bCs/>
          <w:i/>
          <w:lang w:val="en-US" w:eastAsia="zh-CN"/>
        </w:rPr>
        <w:t>would</w:t>
      </w:r>
      <w:r>
        <w:rPr>
          <w:rFonts w:hint="eastAsia"/>
          <w:b/>
          <w:bCs/>
          <w:i/>
          <w:lang w:val="en-US" w:eastAsia="zh-CN"/>
        </w:rPr>
        <w:t xml:space="preserve"> be </w:t>
      </w:r>
      <w:r>
        <w:rPr>
          <w:b/>
          <w:bCs/>
          <w:i/>
          <w:lang w:val="en-US" w:eastAsia="zh-CN"/>
        </w:rPr>
        <w:t>introduced</w:t>
      </w:r>
      <w:r>
        <w:rPr>
          <w:rFonts w:hint="eastAsia"/>
          <w:b/>
          <w:bCs/>
          <w:i/>
          <w:lang w:val="en-US" w:eastAsia="zh-CN"/>
        </w:rPr>
        <w:t xml:space="preserve"> if inter-donor inter-carrier DC was supported. </w:t>
      </w:r>
    </w:p>
    <w:p>
      <w:pPr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analysis, we propose the following:</w:t>
      </w:r>
    </w:p>
    <w:p>
      <w:pPr>
        <w:spacing w:before="120" w:beforeLines="50" w:after="12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 The reply LS for inter-donor topology redundancy in IAB is suggested to take into account the following:</w:t>
      </w:r>
    </w:p>
    <w:p>
      <w:pPr>
        <w:numPr>
          <w:ilvl w:val="0"/>
          <w:numId w:val="13"/>
        </w:numPr>
        <w:spacing w:before="120" w:beforeLines="50" w:after="12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Only intra-donor inter-carrier DC was clearly supported at RAN1.</w:t>
      </w:r>
    </w:p>
    <w:p>
      <w:pPr>
        <w:numPr>
          <w:ilvl w:val="0"/>
          <w:numId w:val="13"/>
        </w:numPr>
        <w:spacing w:before="120" w:beforeLines="50" w:after="12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Support of i</w:t>
      </w:r>
      <w:r>
        <w:rPr>
          <w:rFonts w:hint="eastAsia"/>
          <w:b/>
          <w:bCs/>
          <w:i/>
          <w:lang w:val="en-US" w:eastAsia="zh-CN"/>
        </w:rPr>
        <w:t>ntra-donor intra-carrier DC and inter-donor intra-carrier DC should wait for RAN plenary decision.</w:t>
      </w:r>
    </w:p>
    <w:p>
      <w:pPr>
        <w:numPr>
          <w:ilvl w:val="0"/>
          <w:numId w:val="13"/>
        </w:numPr>
        <w:spacing w:before="120" w:beforeLines="50" w:after="12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It is up to RAN3 to determine whether  inter-donor inter-carrier DC is supported</w:t>
      </w:r>
    </w:p>
    <w:p>
      <w:pPr>
        <w:pStyle w:val="124"/>
        <w:spacing w:after="300" w:line="260" w:lineRule="auto"/>
        <w:ind w:left="0"/>
        <w:rPr>
          <w:i/>
          <w:iCs/>
          <w:sz w:val="21"/>
          <w:szCs w:val="21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have discussed the RAN3 LS on </w:t>
      </w:r>
      <w:r>
        <w:rPr>
          <w:rFonts w:hint="eastAsia" w:eastAsia="宋体"/>
          <w:lang w:val="en-US" w:eastAsia="zh-CN"/>
        </w:rPr>
        <w:t>inter-donor topology redundancy in IAB</w:t>
      </w:r>
      <w:r>
        <w:rPr>
          <w:rFonts w:hint="eastAsia"/>
          <w:lang w:val="en-US" w:eastAsia="zh-CN"/>
        </w:rPr>
        <w:t>. Based on this, the following proposal is provided:</w:t>
      </w:r>
    </w:p>
    <w:p>
      <w:pPr>
        <w:spacing w:before="120" w:beforeLines="50" w:after="12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 The reply LS for inter-donor topology redundancy in IAB is suggested to take into account the following:</w:t>
      </w:r>
    </w:p>
    <w:p>
      <w:pPr>
        <w:numPr>
          <w:ilvl w:val="0"/>
          <w:numId w:val="13"/>
        </w:numPr>
        <w:spacing w:before="120" w:beforeLines="50" w:after="12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Only intra-donor inter-carrier DC was clearly supported at RAN1.</w:t>
      </w:r>
    </w:p>
    <w:p>
      <w:pPr>
        <w:numPr>
          <w:ilvl w:val="0"/>
          <w:numId w:val="13"/>
        </w:numPr>
        <w:spacing w:before="120" w:beforeLines="50" w:after="12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Support of i</w:t>
      </w:r>
      <w:r>
        <w:rPr>
          <w:rFonts w:hint="eastAsia"/>
          <w:b/>
          <w:bCs/>
          <w:i/>
          <w:lang w:val="en-US" w:eastAsia="zh-CN"/>
        </w:rPr>
        <w:t>ntra-donor intra-carrier DC and inter-donor intra-carrier DC should wait for RAN plenary decision.</w:t>
      </w:r>
    </w:p>
    <w:p>
      <w:pPr>
        <w:numPr>
          <w:ilvl w:val="0"/>
          <w:numId w:val="13"/>
        </w:numPr>
        <w:spacing w:before="120" w:beforeLines="50" w:after="120" w:afterLines="5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It is up to RAN3 to determine whether  inter-donor inter-carrier DC is supported</w:t>
      </w:r>
    </w:p>
    <w:bookmarkEnd w:id="1"/>
    <w:bookmarkEnd w:id="2"/>
    <w:bookmarkEnd w:id="3"/>
    <w:bookmarkEnd w:id="4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bookmarkStart w:id="6" w:name="IDX-CHP-8-0994"/>
      <w:bookmarkEnd w:id="6"/>
      <w:bookmarkStart w:id="7" w:name="IDX-CHP-8-0995"/>
      <w:bookmarkEnd w:id="7"/>
      <w:bookmarkStart w:id="8" w:name="IDX-CHP-8-0996"/>
      <w:bookmarkEnd w:id="8"/>
      <w:bookmarkStart w:id="9" w:name="IDX-CHP-8-0992"/>
      <w:bookmarkEnd w:id="9"/>
      <w:bookmarkStart w:id="10" w:name="IDX-CHP-8-0993"/>
      <w:bookmarkEnd w:id="10"/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0"/>
    <w:p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R3-207199, LS on inter-donor topology redundancy, </w:t>
      </w:r>
      <w:r>
        <w:rPr>
          <w:rFonts w:eastAsia="宋体"/>
          <w:lang w:val="en-US" w:eastAsia="zh-CN"/>
        </w:rPr>
        <w:t xml:space="preserve">RAN3, </w:t>
      </w:r>
      <w:r>
        <w:rPr>
          <w:rFonts w:hint="eastAsia" w:eastAsia="宋体"/>
          <w:lang w:val="en-US" w:eastAsia="zh-CN"/>
        </w:rPr>
        <w:t>Samsung</w:t>
      </w:r>
    </w:p>
    <w:p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hint="eastAsia" w:eastAsia="宋体"/>
          <w:bCs/>
          <w:sz w:val="20"/>
          <w:szCs w:val="20"/>
          <w:lang w:val="en-US" w:eastAsia="zh-CN"/>
        </w:rPr>
        <w:t>C</w:t>
      </w:r>
      <w:bookmarkStart w:id="11" w:name="_GoBack"/>
      <w:bookmarkEnd w:id="11"/>
      <w:r>
        <w:rPr>
          <w:rFonts w:hint="eastAsia"/>
          <w:bCs/>
          <w:sz w:val="20"/>
          <w:szCs w:val="20"/>
        </w:rPr>
        <w:t>hairman's Notes RAN1#103-e final</w:t>
      </w:r>
    </w:p>
    <w:p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29764"/>
    </w:sdtPr>
    <w:sdtContent>
      <w:p>
        <w:pPr>
          <w:pStyle w:val="18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E56666"/>
    <w:multiLevelType w:val="singleLevel"/>
    <w:tmpl w:val="A8E56666"/>
    <w:lvl w:ilvl="0" w:tentative="0">
      <w:start w:val="1"/>
      <w:numFmt w:val="bullet"/>
      <w:lvlText w:val="▪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4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4C5C25F6"/>
    <w:multiLevelType w:val="multilevel"/>
    <w:tmpl w:val="4C5C25F6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4C8F472B"/>
    <w:multiLevelType w:val="multilevel"/>
    <w:tmpl w:val="4C8F472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0">
    <w:nsid w:val="665A0931"/>
    <w:multiLevelType w:val="singleLevel"/>
    <w:tmpl w:val="665A0931"/>
    <w:lvl w:ilvl="0" w:tentative="0">
      <w:start w:val="1"/>
      <w:numFmt w:val="bullet"/>
      <w:lvlText w:val="▪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1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3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10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5C8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42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2C1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39F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633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1D3F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1F3B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EA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46D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DB5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2C85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62912"/>
    <w:rsid w:val="02BC1004"/>
    <w:rsid w:val="02C20A5F"/>
    <w:rsid w:val="02D8254A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B917BF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1F242C"/>
    <w:rsid w:val="1026756C"/>
    <w:rsid w:val="104E4B56"/>
    <w:rsid w:val="10532774"/>
    <w:rsid w:val="1054045C"/>
    <w:rsid w:val="10567C68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73681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65BEC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85519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EE56F4"/>
    <w:rsid w:val="23FE39DA"/>
    <w:rsid w:val="2409287D"/>
    <w:rsid w:val="241B4EFA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0F3BF4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3D90"/>
    <w:rsid w:val="40D00C0D"/>
    <w:rsid w:val="40D01ACC"/>
    <w:rsid w:val="40D14D78"/>
    <w:rsid w:val="40E11F2D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6954A5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14528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933A5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2E3433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80B53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510F9"/>
    <w:rsid w:val="61DD6C29"/>
    <w:rsid w:val="61DD7269"/>
    <w:rsid w:val="61DE687D"/>
    <w:rsid w:val="61F26A42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03E16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4043B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45A50"/>
    <w:rsid w:val="77FC7EA1"/>
    <w:rsid w:val="78030BB3"/>
    <w:rsid w:val="780C4261"/>
    <w:rsid w:val="780C4D7B"/>
    <w:rsid w:val="78183D6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E445AE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045FF7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link w:val="128"/>
    <w:qFormat/>
    <w:uiPriority w:val="99"/>
    <w:pPr>
      <w:jc w:val="center"/>
    </w:pPr>
    <w:rPr>
      <w:i/>
    </w:rPr>
  </w:style>
  <w:style w:type="paragraph" w:styleId="19">
    <w:name w:val="header"/>
    <w:basedOn w:val="1"/>
    <w:link w:val="45"/>
    <w:qFormat/>
    <w:uiPriority w:val="0"/>
    <w:pPr>
      <w:widowControl w:val="0"/>
      <w:spacing w:after="160"/>
    </w:pPr>
    <w:rPr>
      <w:rFonts w:ascii="Arial" w:hAnsi="Arial"/>
      <w:b/>
      <w:sz w:val="18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0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8">
    <w:name w:val="页脚 Char"/>
    <w:basedOn w:val="28"/>
    <w:link w:val="18"/>
    <w:qFormat/>
    <w:uiPriority w:val="99"/>
    <w:rPr>
      <w:rFonts w:ascii="Arial" w:hAnsi="Arial" w:eastAsia="Times New Roman"/>
      <w:b/>
      <w:i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651</Words>
  <Characters>3712</Characters>
  <Lines>30</Lines>
  <Paragraphs>8</Paragraphs>
  <TotalTime>0</TotalTime>
  <ScaleCrop>false</ScaleCrop>
  <LinksUpToDate>false</LinksUpToDate>
  <CharactersWithSpaces>4355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ZTE_xwm</cp:lastModifiedBy>
  <cp:lastPrinted>2018-02-16T23:29:00Z</cp:lastPrinted>
  <dcterms:modified xsi:type="dcterms:W3CDTF">2021-01-18T01:55:08Z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